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AF288" w14:textId="77777777" w:rsidR="003F0B9E" w:rsidRPr="00126452" w:rsidRDefault="003F0B9E" w:rsidP="003F0B9E">
      <w:pPr>
        <w:rPr>
          <w:sz w:val="2"/>
          <w:lang w:val="en-GB"/>
        </w:rPr>
      </w:pPr>
    </w:p>
    <w:tbl>
      <w:tblPr>
        <w:tblW w:w="0" w:type="auto"/>
        <w:tblLook w:val="01E0" w:firstRow="1" w:lastRow="1" w:firstColumn="1" w:lastColumn="1" w:noHBand="0" w:noVBand="0"/>
      </w:tblPr>
      <w:tblGrid>
        <w:gridCol w:w="3828"/>
        <w:gridCol w:w="5357"/>
      </w:tblGrid>
      <w:tr w:rsidR="00126452" w:rsidRPr="00126452" w14:paraId="0EB3893F" w14:textId="77777777" w:rsidTr="00FF0C1E">
        <w:trPr>
          <w:trHeight w:val="1276"/>
        </w:trPr>
        <w:tc>
          <w:tcPr>
            <w:tcW w:w="3828" w:type="dxa"/>
          </w:tcPr>
          <w:p w14:paraId="25173488" w14:textId="5B17B9C0" w:rsidR="003F0B9E" w:rsidRPr="00126452" w:rsidRDefault="00FF0C1E" w:rsidP="009F6062">
            <w:pPr>
              <w:jc w:val="center"/>
              <w:rPr>
                <w:b/>
                <w:spacing w:val="-10"/>
                <w:sz w:val="24"/>
              </w:rPr>
            </w:pPr>
            <w:r w:rsidRPr="00126452">
              <w:rPr>
                <w:b/>
                <w:spacing w:val="-10"/>
                <w:sz w:val="24"/>
              </w:rPr>
              <w:t>ỦY BAN THƯỜNG VỤ QUỐC HỘI</w:t>
            </w:r>
          </w:p>
          <w:p w14:paraId="70A08FE7" w14:textId="6B5DF96F" w:rsidR="003F0B9E" w:rsidRPr="00126452" w:rsidRDefault="003F0B9E" w:rsidP="00FF0C1E">
            <w:pPr>
              <w:spacing w:before="360" w:after="240"/>
              <w:jc w:val="center"/>
              <w:rPr>
                <w:sz w:val="26"/>
              </w:rPr>
            </w:pPr>
            <w:r w:rsidRPr="00126452">
              <w:rPr>
                <w:noProof/>
              </w:rPr>
              <mc:AlternateContent>
                <mc:Choice Requires="wps">
                  <w:drawing>
                    <wp:anchor distT="4294967293" distB="4294967293" distL="114300" distR="114300" simplePos="0" relativeHeight="251659264" behindDoc="0" locked="0" layoutInCell="1" allowOverlap="1" wp14:anchorId="186860EB" wp14:editId="1EA9DA94">
                      <wp:simplePos x="0" y="0"/>
                      <wp:positionH relativeFrom="column">
                        <wp:posOffset>739140</wp:posOffset>
                      </wp:positionH>
                      <wp:positionV relativeFrom="paragraph">
                        <wp:posOffset>76200</wp:posOffset>
                      </wp:positionV>
                      <wp:extent cx="6978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609B27C"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2pt,6pt" to="113.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"/>
                  </w:pict>
                </mc:Fallback>
              </mc:AlternateContent>
            </w:r>
            <w:r w:rsidRPr="00126452">
              <w:rPr>
                <w:sz w:val="26"/>
              </w:rPr>
              <w:t>Số:</w:t>
            </w:r>
            <w:r w:rsidR="009D24C2" w:rsidRPr="00126452">
              <w:rPr>
                <w:sz w:val="26"/>
              </w:rPr>
              <w:t xml:space="preserve"> 955</w:t>
            </w:r>
            <w:r w:rsidRPr="00126452">
              <w:rPr>
                <w:sz w:val="26"/>
              </w:rPr>
              <w:t>/</w:t>
            </w:r>
            <w:r w:rsidR="000562B2" w:rsidRPr="00126452">
              <w:rPr>
                <w:sz w:val="26"/>
              </w:rPr>
              <w:t>KL</w:t>
            </w:r>
            <w:r w:rsidRPr="00126452">
              <w:rPr>
                <w:sz w:val="26"/>
              </w:rPr>
              <w:t>-</w:t>
            </w:r>
            <w:r w:rsidR="00FF0C1E" w:rsidRPr="00126452">
              <w:rPr>
                <w:sz w:val="26"/>
              </w:rPr>
              <w:t>UBTVQH15</w:t>
            </w:r>
          </w:p>
          <w:p w14:paraId="5ABD8116" w14:textId="236C17B8" w:rsidR="003F0B9E" w:rsidRPr="00126452" w:rsidRDefault="003F0B9E" w:rsidP="009F6062">
            <w:pPr>
              <w:spacing w:before="120"/>
              <w:jc w:val="center"/>
              <w:rPr>
                <w:i/>
                <w:sz w:val="26"/>
              </w:rPr>
            </w:pPr>
          </w:p>
        </w:tc>
        <w:tc>
          <w:tcPr>
            <w:tcW w:w="5357" w:type="dxa"/>
          </w:tcPr>
          <w:p w14:paraId="330DFFAF" w14:textId="77777777" w:rsidR="003F0B9E" w:rsidRPr="00126452" w:rsidRDefault="003F0B9E" w:rsidP="009F6062">
            <w:pPr>
              <w:jc w:val="center"/>
              <w:rPr>
                <w:b/>
                <w:sz w:val="24"/>
              </w:rPr>
            </w:pPr>
            <w:r w:rsidRPr="00126452">
              <w:rPr>
                <w:b/>
                <w:sz w:val="24"/>
              </w:rPr>
              <w:t>CỘNG HÒA XÃ HỘI CHỦ NGHĨA VIỆT NAM</w:t>
            </w:r>
          </w:p>
          <w:p w14:paraId="3B16BC7C" w14:textId="77777777" w:rsidR="003F0B9E" w:rsidRPr="00126452" w:rsidRDefault="003F0B9E" w:rsidP="009F6062">
            <w:pPr>
              <w:jc w:val="center"/>
              <w:rPr>
                <w:b/>
                <w:sz w:val="26"/>
                <w:szCs w:val="26"/>
              </w:rPr>
            </w:pPr>
            <w:r w:rsidRPr="00126452">
              <w:rPr>
                <w:b/>
                <w:sz w:val="26"/>
                <w:szCs w:val="26"/>
              </w:rPr>
              <w:t>Độc lập - Tự do - Hạnh phúc</w:t>
            </w:r>
          </w:p>
          <w:p w14:paraId="7249A7B4" w14:textId="07F29660" w:rsidR="003F0B9E" w:rsidRPr="00126452" w:rsidRDefault="003F0B9E" w:rsidP="00B95549">
            <w:pPr>
              <w:spacing w:before="240" w:line="340" w:lineRule="exact"/>
              <w:jc w:val="center"/>
              <w:rPr>
                <w:i/>
                <w:sz w:val="28"/>
                <w:szCs w:val="28"/>
              </w:rPr>
            </w:pPr>
            <w:r w:rsidRPr="00126452">
              <w:rPr>
                <w:noProof/>
              </w:rPr>
              <mc:AlternateContent>
                <mc:Choice Requires="wps">
                  <w:drawing>
                    <wp:anchor distT="4294967293" distB="4294967293" distL="114300" distR="114300" simplePos="0" relativeHeight="251660288" behindDoc="0" locked="0" layoutInCell="1" allowOverlap="1" wp14:anchorId="775ACED1" wp14:editId="532EF9A9">
                      <wp:simplePos x="0" y="0"/>
                      <wp:positionH relativeFrom="column">
                        <wp:posOffset>639445</wp:posOffset>
                      </wp:positionH>
                      <wp:positionV relativeFrom="paragraph">
                        <wp:posOffset>30480</wp:posOffset>
                      </wp:positionV>
                      <wp:extent cx="19812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2782"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35pt,2.4pt" to="206.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N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"/>
                  </w:pict>
                </mc:Fallback>
              </mc:AlternateContent>
            </w:r>
            <w:r w:rsidR="00B95549" w:rsidRPr="00126452">
              <w:rPr>
                <w:i/>
                <w:sz w:val="28"/>
                <w:szCs w:val="28"/>
              </w:rPr>
              <w:t xml:space="preserve">      </w:t>
            </w:r>
            <w:r w:rsidRPr="00126452">
              <w:rPr>
                <w:i/>
                <w:sz w:val="28"/>
                <w:szCs w:val="28"/>
              </w:rPr>
              <w:t xml:space="preserve">Hà Nội, ngày </w:t>
            </w:r>
            <w:r w:rsidR="009D24C2" w:rsidRPr="00126452">
              <w:rPr>
                <w:i/>
                <w:sz w:val="28"/>
                <w:szCs w:val="28"/>
              </w:rPr>
              <w:t xml:space="preserve">27 </w:t>
            </w:r>
            <w:r w:rsidRPr="00126452">
              <w:rPr>
                <w:i/>
                <w:sz w:val="28"/>
                <w:szCs w:val="28"/>
              </w:rPr>
              <w:t>tháng 9 năm 2024</w:t>
            </w:r>
          </w:p>
        </w:tc>
      </w:tr>
    </w:tbl>
    <w:p w14:paraId="18A4FC3F" w14:textId="2BBCDF6D" w:rsidR="003F0B9E" w:rsidRPr="00126452" w:rsidRDefault="00D9276A" w:rsidP="003F0B9E">
      <w:pPr>
        <w:spacing w:before="240"/>
        <w:jc w:val="center"/>
        <w:rPr>
          <w:b/>
          <w:sz w:val="28"/>
          <w:szCs w:val="28"/>
        </w:rPr>
      </w:pPr>
      <w:r w:rsidRPr="00126452">
        <w:rPr>
          <w:b/>
          <w:sz w:val="28"/>
          <w:szCs w:val="28"/>
        </w:rPr>
        <w:t>KẾT LUẬN</w:t>
      </w:r>
    </w:p>
    <w:p w14:paraId="6A4CAC57" w14:textId="77777777" w:rsidR="003F0B9E" w:rsidRPr="00126452" w:rsidRDefault="003F0B9E" w:rsidP="003F0B9E">
      <w:pPr>
        <w:ind w:right="252"/>
        <w:jc w:val="center"/>
        <w:rPr>
          <w:rFonts w:ascii="Times New Roman Bold" w:hAnsi="Times New Roman Bold"/>
          <w:b/>
          <w:sz w:val="28"/>
          <w:szCs w:val="28"/>
        </w:rPr>
      </w:pPr>
      <w:r w:rsidRPr="00126452">
        <w:rPr>
          <w:rFonts w:ascii="Times New Roman Bold" w:hAnsi="Times New Roman Bold"/>
          <w:b/>
          <w:sz w:val="28"/>
          <w:szCs w:val="28"/>
        </w:rPr>
        <w:t>về việc xây dựng, ban hành Nghị quyết liên tịch                                                        quy định chi tiết việc tổ chức tiếp xúc cử tri của đại biểu Quốc hội và                            đại biểu Hội đồng nhân dân các cấp</w:t>
      </w:r>
    </w:p>
    <w:p w14:paraId="1A7C6584" w14:textId="77777777" w:rsidR="003F0B9E" w:rsidRPr="00126452" w:rsidRDefault="003F0B9E" w:rsidP="003F0B9E">
      <w:pPr>
        <w:ind w:right="249" w:firstLine="539"/>
        <w:jc w:val="center"/>
        <w:rPr>
          <w:i/>
          <w:sz w:val="28"/>
          <w:szCs w:val="28"/>
        </w:rPr>
      </w:pPr>
      <w:r w:rsidRPr="00126452">
        <w:rPr>
          <w:i/>
          <w:spacing w:val="-6"/>
          <w:sz w:val="28"/>
          <w:szCs w:val="28"/>
        </w:rPr>
        <w:t>(tại Phiên họp thứ 37, tháng 9/2024)</w:t>
      </w:r>
    </w:p>
    <w:p w14:paraId="314F3F9D" w14:textId="68388D75" w:rsidR="003F0B9E" w:rsidRPr="00126452" w:rsidRDefault="003F0B9E" w:rsidP="003F0B9E">
      <w:pPr>
        <w:spacing w:before="80" w:line="330" w:lineRule="exact"/>
        <w:ind w:firstLine="709"/>
        <w:jc w:val="both"/>
        <w:rPr>
          <w:iCs/>
        </w:rPr>
      </w:pPr>
      <w:r w:rsidRPr="00126452">
        <w:rPr>
          <w:noProof/>
        </w:rPr>
        <mc:AlternateContent>
          <mc:Choice Requires="wps">
            <w:drawing>
              <wp:anchor distT="4294967293" distB="4294967293" distL="114300" distR="114300" simplePos="0" relativeHeight="251661312" behindDoc="0" locked="0" layoutInCell="1" allowOverlap="1" wp14:anchorId="71BD11A6" wp14:editId="1CD666F5">
                <wp:simplePos x="0" y="0"/>
                <wp:positionH relativeFrom="column">
                  <wp:posOffset>2141855</wp:posOffset>
                </wp:positionH>
                <wp:positionV relativeFrom="paragraph">
                  <wp:posOffset>93344</wp:posOffset>
                </wp:positionV>
                <wp:extent cx="14351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257D8BA" id="Straight Connector 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65pt,7.35pt" to="281.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3f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n6Z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"/>
            </w:pict>
          </mc:Fallback>
        </mc:AlternateContent>
      </w:r>
    </w:p>
    <w:p w14:paraId="48482886" w14:textId="247AC377" w:rsidR="003F0B9E" w:rsidRPr="00126452" w:rsidRDefault="003F0B9E" w:rsidP="00056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0" w:lineRule="atLeast"/>
        <w:ind w:firstLine="720"/>
        <w:jc w:val="both"/>
        <w:rPr>
          <w:sz w:val="28"/>
          <w:szCs w:val="28"/>
          <w:lang w:eastAsia="en-US"/>
        </w:rPr>
      </w:pPr>
      <w:r w:rsidRPr="00126452">
        <w:rPr>
          <w:bCs/>
          <w:spacing w:val="-1"/>
          <w:sz w:val="28"/>
          <w:szCs w:val="28"/>
          <w:lang w:val="en-GB"/>
        </w:rPr>
        <w:t xml:space="preserve">Sáng ngày 24/9/2024, tại </w:t>
      </w:r>
      <w:r w:rsidR="004C7BB4" w:rsidRPr="00126452">
        <w:rPr>
          <w:bCs/>
          <w:spacing w:val="-1"/>
          <w:sz w:val="28"/>
          <w:szCs w:val="28"/>
          <w:lang w:val="en-GB"/>
        </w:rPr>
        <w:t>P</w:t>
      </w:r>
      <w:r w:rsidRPr="00126452">
        <w:rPr>
          <w:bCs/>
          <w:spacing w:val="-1"/>
          <w:sz w:val="28"/>
          <w:szCs w:val="28"/>
          <w:lang w:val="en-GB"/>
        </w:rPr>
        <w:t>hiên họp thứ 37, Ủy ban Thường vụ Quốc hội đã xem xét, cho ý kiến đối với</w:t>
      </w:r>
      <w:r w:rsidRPr="00126452">
        <w:rPr>
          <w:spacing w:val="-1"/>
          <w:sz w:val="28"/>
          <w:szCs w:val="28"/>
        </w:rPr>
        <w:t xml:space="preserve"> 02 dự thảo Nghị quyết liên tịch của Ủy ban Thường vụ Quốc hội, Chính phủ, Đoàn Chủ tịch Ủy ban Trung ương Mặt trận Tổ quốc Việt Nam quy định chi tiết </w:t>
      </w:r>
      <w:r w:rsidRPr="00126452">
        <w:rPr>
          <w:spacing w:val="-1"/>
          <w:sz w:val="28"/>
          <w:szCs w:val="28"/>
          <w:lang w:val="fr-FR"/>
        </w:rPr>
        <w:t xml:space="preserve">việc tổ chức tiếp xúc cử tri của đại biểu Quốc hội (theo Tờ </w:t>
      </w:r>
      <w:r w:rsidRPr="00126452">
        <w:rPr>
          <w:spacing w:val="-4"/>
          <w:sz w:val="28"/>
          <w:szCs w:val="28"/>
          <w:lang w:val="fr-FR"/>
        </w:rPr>
        <w:t>trình số 744/TTr-BDN ngày 13/9/2024 của Ban Dân nguyện) và việc tổ chức tiếp xúc cử tri của đại biểu Hội đồng nhân dân các cấp (</w:t>
      </w:r>
      <w:r w:rsidRPr="00126452">
        <w:rPr>
          <w:spacing w:val="-4"/>
          <w:sz w:val="28"/>
          <w:szCs w:val="28"/>
        </w:rPr>
        <w:t xml:space="preserve">theo </w:t>
      </w:r>
      <w:r w:rsidRPr="00126452">
        <w:rPr>
          <w:spacing w:val="-4"/>
          <w:sz w:val="28"/>
          <w:szCs w:val="28"/>
          <w:lang w:val="fr-FR"/>
        </w:rPr>
        <w:t>Tờ trình số 727/TTr-BCTĐB ngày</w:t>
      </w:r>
      <w:r w:rsidRPr="00126452">
        <w:rPr>
          <w:spacing w:val="-1"/>
          <w:sz w:val="28"/>
          <w:szCs w:val="28"/>
          <w:lang w:val="fr-FR"/>
        </w:rPr>
        <w:t xml:space="preserve"> 13/9/2024 của Ban Công tác đại biểu)</w:t>
      </w:r>
      <w:r w:rsidRPr="00126452">
        <w:rPr>
          <w:bCs/>
          <w:spacing w:val="-1"/>
          <w:sz w:val="28"/>
          <w:szCs w:val="28"/>
          <w:lang w:val="en-GB"/>
        </w:rPr>
        <w:t xml:space="preserve"> và kết luận như sau</w:t>
      </w:r>
      <w:r w:rsidRPr="00126452">
        <w:rPr>
          <w:bCs/>
          <w:sz w:val="28"/>
          <w:szCs w:val="28"/>
          <w:lang w:val="en-GB"/>
        </w:rPr>
        <w:t>:</w:t>
      </w:r>
    </w:p>
    <w:p w14:paraId="13478941" w14:textId="77777777" w:rsidR="003F0B9E" w:rsidRPr="00126452" w:rsidRDefault="003F0B9E" w:rsidP="000562B2">
      <w:pPr>
        <w:widowControl w:val="0"/>
        <w:pBdr>
          <w:top w:val="dotted" w:sz="4" w:space="0" w:color="FFFFFF"/>
          <w:left w:val="dotted" w:sz="4" w:space="0" w:color="FFFFFF"/>
          <w:bottom w:val="dotted" w:sz="4" w:space="31" w:color="FFFFFF"/>
          <w:right w:val="dotted" w:sz="4" w:space="0" w:color="FFFFFF"/>
        </w:pBdr>
        <w:shd w:val="clear" w:color="auto" w:fill="FFFFFF"/>
        <w:spacing w:before="120" w:line="330" w:lineRule="atLeast"/>
        <w:ind w:firstLine="709"/>
        <w:jc w:val="both"/>
        <w:rPr>
          <w:rFonts w:eastAsia="Times New Roman"/>
          <w:spacing w:val="2"/>
          <w:sz w:val="28"/>
          <w:szCs w:val="28"/>
        </w:rPr>
      </w:pPr>
      <w:r w:rsidRPr="00126452">
        <w:rPr>
          <w:spacing w:val="-2"/>
          <w:sz w:val="28"/>
          <w:szCs w:val="28"/>
        </w:rPr>
        <w:t>1.</w:t>
      </w:r>
      <w:r w:rsidRPr="00126452">
        <w:rPr>
          <w:b/>
          <w:spacing w:val="-2"/>
          <w:sz w:val="28"/>
          <w:szCs w:val="28"/>
          <w:lang w:val="da-DK"/>
        </w:rPr>
        <w:t xml:space="preserve"> </w:t>
      </w:r>
      <w:r w:rsidRPr="00126452">
        <w:rPr>
          <w:spacing w:val="-2"/>
          <w:sz w:val="28"/>
          <w:szCs w:val="28"/>
          <w:lang w:val="da-DK"/>
        </w:rPr>
        <w:t xml:space="preserve">Ủy ban Thường vụ Quốc hội đánh giá cao Chính phủ, Ban Thường trực Ủy ban Trung ương </w:t>
      </w:r>
      <w:r w:rsidRPr="00126452">
        <w:rPr>
          <w:rFonts w:eastAsia="Times New Roman"/>
          <w:spacing w:val="-2"/>
          <w:sz w:val="28"/>
          <w:szCs w:val="28"/>
        </w:rPr>
        <w:t xml:space="preserve">Mặt trận Tổ quốc Việt Nam, các Cơ quan chủ trì soạn thảo (Ban </w:t>
      </w:r>
      <w:r w:rsidRPr="00126452">
        <w:rPr>
          <w:rFonts w:eastAsia="Times New Roman"/>
          <w:spacing w:val="-4"/>
          <w:sz w:val="28"/>
          <w:szCs w:val="28"/>
        </w:rPr>
        <w:t xml:space="preserve">Dân nguyện, </w:t>
      </w:r>
      <w:r w:rsidRPr="00126452">
        <w:rPr>
          <w:spacing w:val="-4"/>
          <w:sz w:val="28"/>
          <w:szCs w:val="28"/>
        </w:rPr>
        <w:t>Ban Công tác đại biểu</w:t>
      </w:r>
      <w:r w:rsidRPr="00126452">
        <w:rPr>
          <w:rFonts w:eastAsia="Times New Roman"/>
          <w:spacing w:val="-4"/>
          <w:sz w:val="28"/>
          <w:szCs w:val="28"/>
        </w:rPr>
        <w:t>), Cơ quan chủ trì thẩm tra (</w:t>
      </w:r>
      <w:r w:rsidRPr="00126452">
        <w:rPr>
          <w:spacing w:val="-4"/>
          <w:sz w:val="28"/>
          <w:szCs w:val="28"/>
        </w:rPr>
        <w:t>Ủy ban Pháp luật</w:t>
      </w:r>
      <w:r w:rsidRPr="00126452">
        <w:rPr>
          <w:rFonts w:eastAsia="Times New Roman"/>
          <w:spacing w:val="-4"/>
          <w:sz w:val="28"/>
          <w:szCs w:val="28"/>
        </w:rPr>
        <w:t xml:space="preserve">) và các cơ quan có liên quan đã phối hợp chặt chẽ, hiệu quả để xây dựng hồ sơ 02 dự </w:t>
      </w:r>
      <w:r w:rsidRPr="00126452">
        <w:rPr>
          <w:spacing w:val="-4"/>
          <w:sz w:val="28"/>
          <w:szCs w:val="28"/>
        </w:rPr>
        <w:t>thảo Nghị quyết</w:t>
      </w:r>
      <w:r w:rsidRPr="00126452">
        <w:rPr>
          <w:rFonts w:eastAsia="Times New Roman"/>
          <w:spacing w:val="-4"/>
          <w:sz w:val="28"/>
          <w:szCs w:val="28"/>
        </w:rPr>
        <w:t xml:space="preserve"> đúng tiến độ, bảo đảm chất lượng trình Ủy ban Thường vụ Quốc hội.</w:t>
      </w:r>
      <w:r w:rsidRPr="00126452">
        <w:rPr>
          <w:rFonts w:eastAsia="Times New Roman"/>
          <w:spacing w:val="2"/>
          <w:sz w:val="28"/>
          <w:szCs w:val="28"/>
        </w:rPr>
        <w:t xml:space="preserve"> </w:t>
      </w:r>
    </w:p>
    <w:p w14:paraId="3A693DA8" w14:textId="77777777" w:rsidR="003F0B9E" w:rsidRPr="00126452" w:rsidRDefault="003F0B9E" w:rsidP="000562B2">
      <w:pPr>
        <w:widowControl w:val="0"/>
        <w:pBdr>
          <w:top w:val="dotted" w:sz="4" w:space="0" w:color="FFFFFF"/>
          <w:left w:val="dotted" w:sz="4" w:space="0" w:color="FFFFFF"/>
          <w:bottom w:val="dotted" w:sz="4" w:space="31" w:color="FFFFFF"/>
          <w:right w:val="dotted" w:sz="4" w:space="0" w:color="FFFFFF"/>
        </w:pBdr>
        <w:shd w:val="clear" w:color="auto" w:fill="FFFFFF"/>
        <w:spacing w:before="120" w:line="330" w:lineRule="atLeast"/>
        <w:ind w:firstLine="709"/>
        <w:jc w:val="both"/>
        <w:rPr>
          <w:rFonts w:eastAsia="Times New Roman"/>
          <w:spacing w:val="2"/>
          <w:sz w:val="28"/>
          <w:szCs w:val="28"/>
        </w:rPr>
      </w:pPr>
      <w:r w:rsidRPr="00126452">
        <w:rPr>
          <w:rFonts w:eastAsia="Times New Roman"/>
          <w:spacing w:val="2"/>
          <w:sz w:val="28"/>
          <w:szCs w:val="28"/>
        </w:rPr>
        <w:t>2. Ủy ban Thường vụ Quốc hội thống nhất tích hợp nội dung 02 dự thảo Nghị quyết để xây dựng thành Nghị quyết chung quy định chi tiết việc tổ chức tiếp xúc cử tri của đại biểu Quốc hội và đại biểu Hội đồng nhân dân các cấp.</w:t>
      </w:r>
    </w:p>
    <w:p w14:paraId="726F34F6" w14:textId="77777777" w:rsidR="003F0B9E" w:rsidRPr="00126452" w:rsidRDefault="003F0B9E" w:rsidP="000562B2">
      <w:pPr>
        <w:widowControl w:val="0"/>
        <w:pBdr>
          <w:top w:val="dotted" w:sz="4" w:space="0" w:color="FFFFFF"/>
          <w:left w:val="dotted" w:sz="4" w:space="0" w:color="FFFFFF"/>
          <w:bottom w:val="dotted" w:sz="4" w:space="31" w:color="FFFFFF"/>
          <w:right w:val="dotted" w:sz="4" w:space="0" w:color="FFFFFF"/>
        </w:pBdr>
        <w:shd w:val="clear" w:color="auto" w:fill="FFFFFF"/>
        <w:spacing w:before="120" w:line="330" w:lineRule="atLeast"/>
        <w:ind w:firstLine="709"/>
        <w:jc w:val="both"/>
        <w:rPr>
          <w:sz w:val="28"/>
          <w:szCs w:val="28"/>
          <w:lang w:val="nl-NL"/>
        </w:rPr>
      </w:pPr>
      <w:r w:rsidRPr="00126452">
        <w:rPr>
          <w:rFonts w:eastAsia="Times New Roman"/>
          <w:spacing w:val="2"/>
          <w:sz w:val="28"/>
          <w:szCs w:val="28"/>
        </w:rPr>
        <w:t xml:space="preserve">3. </w:t>
      </w:r>
      <w:r w:rsidRPr="00126452">
        <w:rPr>
          <w:sz w:val="28"/>
          <w:szCs w:val="28"/>
          <w:lang w:val="nl-NL"/>
        </w:rPr>
        <w:t>Giao Ban Công tác đại biểu chủ trì, phối hợp với Ban Dân nguyện, Bộ Tư pháp, Cơ quan chuyên môn của Ủy ban Trung ương Mặt trận Tổ Quốc Việt Nam và các cơ quan, tổ chức hữu quan, trên cơ sở hồ sơ 02 dự thảo Nghị quyết đã được chuẩn bị, căn cứ kết luận của Ủy ban Thường vụ Quốc hội</w:t>
      </w:r>
      <w:bookmarkStart w:id="0" w:name="_GoBack"/>
      <w:bookmarkEnd w:id="0"/>
      <w:r w:rsidRPr="00126452">
        <w:rPr>
          <w:sz w:val="28"/>
          <w:szCs w:val="28"/>
          <w:lang w:val="nl-NL"/>
        </w:rPr>
        <w:t xml:space="preserve">, nghiên cứu tiếp thu đầy đủ ý kiến của các thành viên Ủy ban Thường vụ Quốc hội, ý kiến của Chính phủ, Ban Thường trực Ủy ban Trung ương Mặt trận Tổ Quốc Việt Nam và ý kiến của Cơ quan thẩm tra để xây dựng Tờ trình và dự thảo Nghị quyết chung. Trong đó lưu ý các vấn đề sau: </w:t>
      </w:r>
    </w:p>
    <w:p w14:paraId="2F4FC6E4" w14:textId="77777777" w:rsidR="003F0B9E" w:rsidRPr="00126452" w:rsidRDefault="003F0B9E" w:rsidP="000562B2">
      <w:pPr>
        <w:widowControl w:val="0"/>
        <w:pBdr>
          <w:top w:val="dotted" w:sz="4" w:space="0" w:color="FFFFFF"/>
          <w:left w:val="dotted" w:sz="4" w:space="0" w:color="FFFFFF"/>
          <w:bottom w:val="dotted" w:sz="4" w:space="31" w:color="FFFFFF"/>
          <w:right w:val="dotted" w:sz="4" w:space="0" w:color="FFFFFF"/>
        </w:pBdr>
        <w:shd w:val="clear" w:color="auto" w:fill="FFFFFF"/>
        <w:spacing w:before="120" w:line="330" w:lineRule="atLeast"/>
        <w:ind w:firstLine="709"/>
        <w:jc w:val="both"/>
        <w:rPr>
          <w:iCs/>
          <w:spacing w:val="2"/>
          <w:sz w:val="28"/>
          <w:szCs w:val="28"/>
          <w:lang w:val="nl-NL" w:eastAsia="en-US"/>
        </w:rPr>
      </w:pPr>
      <w:r w:rsidRPr="00126452">
        <w:rPr>
          <w:iCs/>
          <w:sz w:val="28"/>
          <w:szCs w:val="28"/>
          <w:lang w:val="da-DK"/>
        </w:rPr>
        <w:t xml:space="preserve">3.1. </w:t>
      </w:r>
      <w:r w:rsidRPr="00126452">
        <w:rPr>
          <w:sz w:val="28"/>
          <w:szCs w:val="28"/>
          <w:lang w:val="da-DK"/>
        </w:rPr>
        <w:t xml:space="preserve">Phạm vi điều chỉnh của Nghị quyết tập trung quy định về </w:t>
      </w:r>
      <w:r w:rsidRPr="00126452">
        <w:rPr>
          <w:sz w:val="28"/>
          <w:szCs w:val="28"/>
          <w:lang w:val="nl-NL" w:eastAsia="en-US"/>
        </w:rPr>
        <w:t xml:space="preserve">việc tổ chức tiếp xúc cử tri của </w:t>
      </w:r>
      <w:r w:rsidRPr="00126452">
        <w:rPr>
          <w:sz w:val="28"/>
          <w:szCs w:val="28"/>
          <w:lang w:val="fr-FR"/>
        </w:rPr>
        <w:t xml:space="preserve">đại biểu Quốc hội và đại biểu Hội đồng nhân dân các cấp gắn với việc xem xét, </w:t>
      </w:r>
      <w:r w:rsidRPr="00126452">
        <w:rPr>
          <w:iCs/>
          <w:sz w:val="28"/>
          <w:szCs w:val="28"/>
          <w:lang w:val="nl-NL" w:eastAsia="en-US"/>
        </w:rPr>
        <w:t xml:space="preserve">giải quyết, trả lời và giám sát việc giải quyết kiến nghị của cử tri thông qua hoạt động tiếp xúc cử tri, bảo đảm phù hợp với quy định của Luật </w:t>
      </w:r>
      <w:r w:rsidRPr="00126452">
        <w:rPr>
          <w:iCs/>
          <w:spacing w:val="2"/>
          <w:sz w:val="28"/>
          <w:szCs w:val="28"/>
          <w:lang w:val="nl-NL" w:eastAsia="en-US"/>
        </w:rPr>
        <w:t>Hoạt động giám sát của Quốc hội và Hội đồng nhân dân và các nghị quyết có liên quan</w:t>
      </w:r>
      <w:r w:rsidRPr="00126452">
        <w:rPr>
          <w:iCs/>
          <w:sz w:val="28"/>
          <w:szCs w:val="28"/>
          <w:lang w:val="nl-NL" w:eastAsia="en-US"/>
        </w:rPr>
        <w:t xml:space="preserve"> của Ủy ban Thường vụ Quốc hội, không trùng lặp, chồng chéo với các quy định của pháp luật hiện hành về giải quyết và giám sát việc giải quyết kiến nghị của công dân; không quy định về việc tiếp xúc với trẻ em và đại diện trẻ em</w:t>
      </w:r>
      <w:r w:rsidRPr="00126452">
        <w:rPr>
          <w:iCs/>
          <w:spacing w:val="2"/>
          <w:sz w:val="28"/>
          <w:szCs w:val="28"/>
          <w:lang w:val="nl-NL" w:eastAsia="en-US"/>
        </w:rPr>
        <w:t>.</w:t>
      </w:r>
    </w:p>
    <w:p w14:paraId="228DE6AE" w14:textId="77777777" w:rsidR="003F0B9E" w:rsidRPr="00126452" w:rsidRDefault="003F0B9E" w:rsidP="000562B2">
      <w:pPr>
        <w:widowControl w:val="0"/>
        <w:pBdr>
          <w:top w:val="dotted" w:sz="4" w:space="0" w:color="FFFFFF"/>
          <w:left w:val="dotted" w:sz="4" w:space="0" w:color="FFFFFF"/>
          <w:bottom w:val="dotted" w:sz="4" w:space="31" w:color="FFFFFF"/>
          <w:right w:val="dotted" w:sz="4" w:space="0" w:color="FFFFFF"/>
        </w:pBdr>
        <w:shd w:val="clear" w:color="auto" w:fill="FFFFFF"/>
        <w:spacing w:before="120" w:line="330" w:lineRule="atLeast"/>
        <w:ind w:firstLine="720"/>
        <w:jc w:val="both"/>
        <w:rPr>
          <w:sz w:val="28"/>
          <w:szCs w:val="28"/>
          <w:lang w:val="nl-NL"/>
        </w:rPr>
      </w:pPr>
      <w:r w:rsidRPr="00126452">
        <w:rPr>
          <w:sz w:val="28"/>
          <w:szCs w:val="28"/>
          <w:lang w:val="nl-NL" w:eastAsia="en-US"/>
        </w:rPr>
        <w:lastRenderedPageBreak/>
        <w:t>Giao Thường trực Ủy ban Văn hóa, Giáo dục nghiên cứu</w:t>
      </w:r>
      <w:r w:rsidRPr="00126452">
        <w:rPr>
          <w:sz w:val="28"/>
          <w:szCs w:val="28"/>
          <w:lang w:val="nl-NL"/>
        </w:rPr>
        <w:t xml:space="preserve"> đề xuất Ủy ban Thường vụ Quốc hội xem xét, ban hành văn bản riêng để hướng dẫn cụ thể việc tiếp xúc của đại biểu Quốc hội và đại biểu Hội đồng nhân dân với trẻ em,</w:t>
      </w:r>
      <w:r w:rsidRPr="00126452">
        <w:rPr>
          <w:iCs/>
          <w:sz w:val="28"/>
          <w:szCs w:val="28"/>
          <w:lang w:val="nl-NL" w:eastAsia="en-US"/>
        </w:rPr>
        <w:t xml:space="preserve"> đại diện trẻ em</w:t>
      </w:r>
      <w:r w:rsidRPr="00126452">
        <w:rPr>
          <w:sz w:val="28"/>
          <w:szCs w:val="28"/>
          <w:lang w:val="nl-NL"/>
        </w:rPr>
        <w:t xml:space="preserve">, bảo đảm đồng bộ, thống nhất và phù hợp với nhóm đối tượng đặc thù này. </w:t>
      </w:r>
    </w:p>
    <w:p w14:paraId="38D7707C" w14:textId="4A9DCC0E" w:rsidR="003F0B9E" w:rsidRPr="00126452" w:rsidRDefault="003F0B9E" w:rsidP="003F0B9E">
      <w:pPr>
        <w:widowControl w:val="0"/>
        <w:pBdr>
          <w:top w:val="dotted" w:sz="4" w:space="0" w:color="FFFFFF"/>
          <w:left w:val="dotted" w:sz="4" w:space="0" w:color="FFFFFF"/>
          <w:bottom w:val="dotted" w:sz="4" w:space="31" w:color="FFFFFF"/>
          <w:right w:val="dotted" w:sz="4" w:space="0" w:color="FFFFFF"/>
        </w:pBdr>
        <w:shd w:val="clear" w:color="auto" w:fill="FFFFFF"/>
        <w:spacing w:before="120" w:line="340" w:lineRule="atLeast"/>
        <w:ind w:firstLine="720"/>
        <w:jc w:val="both"/>
        <w:rPr>
          <w:bCs/>
          <w:iCs/>
          <w:spacing w:val="2"/>
          <w:sz w:val="28"/>
          <w:szCs w:val="28"/>
          <w:lang w:val="es-MX"/>
        </w:rPr>
      </w:pPr>
      <w:r w:rsidRPr="00126452">
        <w:rPr>
          <w:sz w:val="28"/>
          <w:szCs w:val="28"/>
          <w:lang w:val="nl-NL"/>
        </w:rPr>
        <w:t xml:space="preserve">3.2. Quy định rõ thế nào là một cuộc tiếp xúc cử tri, trên cơ sở đó, rà soát, </w:t>
      </w:r>
      <w:r w:rsidRPr="00126452">
        <w:rPr>
          <w:spacing w:val="-2"/>
          <w:sz w:val="28"/>
          <w:szCs w:val="28"/>
          <w:lang w:val="nl-NL"/>
        </w:rPr>
        <w:t>thống nhất số liệu tổng kết về tình hình tiếp xúc cử tri của các địa phương trong hồ sơ dự thảo Nghị quyết; t</w:t>
      </w:r>
      <w:r w:rsidRPr="00126452">
        <w:rPr>
          <w:spacing w:val="-2"/>
          <w:sz w:val="28"/>
          <w:szCs w:val="28"/>
          <w:lang w:val="nl-NL" w:eastAsia="en-US"/>
        </w:rPr>
        <w:t>iếp tục duy trì việc tiếp xúc cử tri của đại biểu Quốc hội</w:t>
      </w:r>
      <w:r w:rsidRPr="00126452">
        <w:rPr>
          <w:spacing w:val="2"/>
          <w:sz w:val="28"/>
          <w:szCs w:val="28"/>
          <w:lang w:val="nl-NL" w:eastAsia="en-US"/>
        </w:rPr>
        <w:t xml:space="preserve"> sau </w:t>
      </w:r>
      <w:r w:rsidRPr="00126452">
        <w:rPr>
          <w:spacing w:val="4"/>
          <w:sz w:val="28"/>
          <w:szCs w:val="28"/>
          <w:lang w:val="nl-NL" w:eastAsia="en-US"/>
        </w:rPr>
        <w:t xml:space="preserve">kỳ họp thường lệ; </w:t>
      </w:r>
      <w:r w:rsidRPr="00126452">
        <w:rPr>
          <w:bCs/>
          <w:iCs/>
          <w:spacing w:val="4"/>
          <w:sz w:val="28"/>
          <w:szCs w:val="28"/>
          <w:lang w:val="es-MX"/>
        </w:rPr>
        <w:t xml:space="preserve">quy định đầy đủ, cụ thể hơn về tiếp xúc cử tri của đại biểu Quốc hội ngoài địa bàn tỉnh, thành phố nơi đại biểu ứng cử, việc phối hợp tiếp xúc cử tri của </w:t>
      </w:r>
      <w:r w:rsidRPr="00126452">
        <w:rPr>
          <w:bCs/>
          <w:iCs/>
          <w:spacing w:val="-4"/>
          <w:sz w:val="28"/>
          <w:szCs w:val="28"/>
          <w:lang w:val="es-MX"/>
        </w:rPr>
        <w:t xml:space="preserve">đại biểu Quốc hội và đại biểu Hội đồng nhân dân; </w:t>
      </w:r>
      <w:r w:rsidRPr="00126452">
        <w:rPr>
          <w:spacing w:val="-4"/>
          <w:sz w:val="28"/>
          <w:szCs w:val="28"/>
          <w:lang w:val="nl-NL"/>
        </w:rPr>
        <w:t xml:space="preserve">quy định rõ </w:t>
      </w:r>
      <w:r w:rsidRPr="00126452">
        <w:rPr>
          <w:rFonts w:eastAsia="Times New Roman"/>
          <w:spacing w:val="-4"/>
          <w:sz w:val="28"/>
          <w:szCs w:val="28"/>
          <w:lang w:val="nl-NL"/>
        </w:rPr>
        <w:t xml:space="preserve">trách nhiệm chủ trì tổ chức tiếp xúc cở tri ở địa phương của Mặt trận Tổ quốc Việt Nam, trình tự tiến hành cuộc tiếp xúc cử tri, trách nhiệm phối hợp và tham gia của đại diện chính quyền, các cơ quan chuyên môn của địa phương; </w:t>
      </w:r>
      <w:r w:rsidRPr="00126452">
        <w:rPr>
          <w:spacing w:val="-4"/>
          <w:sz w:val="28"/>
          <w:szCs w:val="28"/>
          <w:lang w:val="nl-NL"/>
        </w:rPr>
        <w:t>không quy định việc cử tri nhận xét, đánh giá về hoạt động của đại biểu</w:t>
      </w:r>
      <w:r w:rsidR="004C7BB4" w:rsidRPr="00126452">
        <w:rPr>
          <w:sz w:val="28"/>
          <w:szCs w:val="28"/>
          <w:lang w:val="nl-NL"/>
        </w:rPr>
        <w:t xml:space="preserve"> Quốc hội, đại biểu Hội đồng nhân dân</w:t>
      </w:r>
      <w:r w:rsidRPr="00126452">
        <w:rPr>
          <w:spacing w:val="-4"/>
          <w:sz w:val="28"/>
          <w:szCs w:val="28"/>
          <w:lang w:val="nl-NL"/>
        </w:rPr>
        <w:t xml:space="preserve">; nghiên cứu xác </w:t>
      </w:r>
      <w:r w:rsidRPr="00126452">
        <w:rPr>
          <w:sz w:val="28"/>
          <w:szCs w:val="28"/>
          <w:lang w:val="nl-NL"/>
        </w:rPr>
        <w:t xml:space="preserve">định hợp lý, bảo đảm tính khả thi đối với </w:t>
      </w:r>
      <w:r w:rsidRPr="00126452">
        <w:rPr>
          <w:sz w:val="28"/>
          <w:szCs w:val="28"/>
          <w:lang w:val="nl-NL" w:eastAsia="en-US"/>
        </w:rPr>
        <w:t xml:space="preserve">thời hạn gửi báo cáo tổng hợp ý kiến, kiến nghị của cử tri của Ban Dân nguyện tới Ban Thường trực </w:t>
      </w:r>
      <w:r w:rsidRPr="00126452">
        <w:rPr>
          <w:bCs/>
          <w:sz w:val="28"/>
          <w:szCs w:val="28"/>
          <w:lang w:val="nl-NL" w:eastAsia="en-US"/>
        </w:rPr>
        <w:t>Uỷ ban Trung ương Mặt trận Tổ quốc Việt Nam</w:t>
      </w:r>
      <w:r w:rsidRPr="00126452">
        <w:rPr>
          <w:bCs/>
          <w:iCs/>
          <w:spacing w:val="-4"/>
          <w:sz w:val="28"/>
          <w:szCs w:val="28"/>
          <w:lang w:val="es-MX"/>
        </w:rPr>
        <w:t>.</w:t>
      </w:r>
    </w:p>
    <w:p w14:paraId="3C0325A1" w14:textId="3C406581" w:rsidR="003F0B9E" w:rsidRPr="00126452" w:rsidRDefault="003F0B9E" w:rsidP="003F0B9E">
      <w:pPr>
        <w:widowControl w:val="0"/>
        <w:pBdr>
          <w:top w:val="dotted" w:sz="4" w:space="0" w:color="FFFFFF"/>
          <w:left w:val="dotted" w:sz="4" w:space="0" w:color="FFFFFF"/>
          <w:bottom w:val="dotted" w:sz="4" w:space="31" w:color="FFFFFF"/>
          <w:right w:val="dotted" w:sz="4" w:space="0" w:color="FFFFFF"/>
        </w:pBdr>
        <w:shd w:val="clear" w:color="auto" w:fill="FFFFFF"/>
        <w:spacing w:before="120" w:line="340" w:lineRule="atLeast"/>
        <w:ind w:firstLine="720"/>
        <w:jc w:val="both"/>
        <w:rPr>
          <w:sz w:val="28"/>
          <w:szCs w:val="28"/>
          <w:lang w:val="nl-NL"/>
        </w:rPr>
      </w:pPr>
      <w:r w:rsidRPr="00126452">
        <w:rPr>
          <w:sz w:val="28"/>
          <w:szCs w:val="28"/>
          <w:lang w:val="nl-NL"/>
        </w:rPr>
        <w:t xml:space="preserve">4. Ban Công tác đại biểu gửi hồ sơ dự thảo Nghị quyết đã được tiếp thu, chỉnh lý xin ý kiến Ủy ban Thường vụ Quốc hội bằng văn bản, đồng thời gửi xin </w:t>
      </w:r>
      <w:r w:rsidRPr="00126452">
        <w:rPr>
          <w:spacing w:val="2"/>
          <w:sz w:val="28"/>
          <w:szCs w:val="28"/>
          <w:lang w:val="nl-NL"/>
        </w:rPr>
        <w:t>ý kiến Chính phủ và Ban Thường trực Ủy ban Trung ương Mặt trận Tổ quốc Việt Nam để</w:t>
      </w:r>
      <w:r w:rsidRPr="00126452">
        <w:rPr>
          <w:sz w:val="28"/>
          <w:szCs w:val="28"/>
          <w:lang w:val="nl-NL"/>
        </w:rPr>
        <w:t xml:space="preserve"> thống nhất nội dung dự thảo Nghị quyết; trường hợp cần thiết, báo cáo </w:t>
      </w:r>
      <w:r w:rsidRPr="00126452">
        <w:rPr>
          <w:spacing w:val="-4"/>
          <w:sz w:val="28"/>
          <w:szCs w:val="28"/>
          <w:lang w:val="nl-NL"/>
        </w:rPr>
        <w:t>Phó Chủ tịch Quốc hội phụ trách nội dung chủ trì cuộc họp với đại diện các cơ quan liên tịch ban hành Nghị quyết để xem xét, xử lý các nội dung còn có ý kiến khác nhau, trên cơ sở đó hoàn thiện Tờ trình và dự thảo Nghị quyết trình Ủy ban Thường vụ Quốc hội xem xét, quyết định. Giao Thường trực Ủy ban Pháp luật có ý kiến bằng văn bản về dự thảo Nghị quyết báo cáo Ủy ban Thường vụ Quốc hội.</w:t>
      </w:r>
      <w:r w:rsidR="00541CB3" w:rsidRPr="00126452">
        <w:rPr>
          <w:spacing w:val="-4"/>
          <w:sz w:val="28"/>
          <w:szCs w:val="28"/>
          <w:lang w:val="nl-NL"/>
        </w:rPr>
        <w:t>/.</w:t>
      </w:r>
    </w:p>
    <w:tbl>
      <w:tblPr>
        <w:tblW w:w="9322" w:type="dxa"/>
        <w:tblLayout w:type="fixed"/>
        <w:tblLook w:val="0000" w:firstRow="0" w:lastRow="0" w:firstColumn="0" w:lastColumn="0" w:noHBand="0" w:noVBand="0"/>
      </w:tblPr>
      <w:tblGrid>
        <w:gridCol w:w="3969"/>
        <w:gridCol w:w="5353"/>
      </w:tblGrid>
      <w:tr w:rsidR="003F5EC8" w:rsidRPr="00126452" w14:paraId="48BE283F" w14:textId="77777777" w:rsidTr="000562B2">
        <w:tc>
          <w:tcPr>
            <w:tcW w:w="3969" w:type="dxa"/>
          </w:tcPr>
          <w:p w14:paraId="60DDE984" w14:textId="77777777" w:rsidR="00FF0C1E" w:rsidRPr="00126452" w:rsidRDefault="00FF0C1E" w:rsidP="009F6062">
            <w:pPr>
              <w:jc w:val="both"/>
              <w:rPr>
                <w:b/>
                <w:i/>
                <w:sz w:val="24"/>
                <w:lang w:val="nl-NL"/>
              </w:rPr>
            </w:pPr>
          </w:p>
          <w:p w14:paraId="01339E45" w14:textId="145375E1" w:rsidR="003F0B9E" w:rsidRPr="00126452" w:rsidRDefault="003F0B9E" w:rsidP="009F6062">
            <w:pPr>
              <w:jc w:val="both"/>
              <w:rPr>
                <w:b/>
                <w:i/>
                <w:sz w:val="24"/>
                <w:lang w:val="nl-NL"/>
              </w:rPr>
            </w:pPr>
            <w:r w:rsidRPr="00126452">
              <w:rPr>
                <w:b/>
                <w:i/>
                <w:sz w:val="24"/>
                <w:lang w:val="nl-NL"/>
              </w:rPr>
              <w:t>Nơi nhận:</w:t>
            </w:r>
          </w:p>
          <w:p w14:paraId="344B6049" w14:textId="20F0AD44" w:rsidR="003F0B9E" w:rsidRPr="00126452" w:rsidRDefault="003F0B9E" w:rsidP="009F6062">
            <w:pPr>
              <w:jc w:val="both"/>
              <w:rPr>
                <w:sz w:val="22"/>
                <w:lang w:val="nl-NL"/>
              </w:rPr>
            </w:pPr>
            <w:r w:rsidRPr="00126452">
              <w:rPr>
                <w:sz w:val="22"/>
                <w:lang w:val="nl-NL"/>
              </w:rPr>
              <w:t xml:space="preserve">- </w:t>
            </w:r>
            <w:r w:rsidR="00FF0C1E" w:rsidRPr="00126452">
              <w:rPr>
                <w:sz w:val="22"/>
                <w:lang w:val="nl-NL"/>
              </w:rPr>
              <w:t>Chính phủ</w:t>
            </w:r>
            <w:r w:rsidRPr="00126452">
              <w:rPr>
                <w:sz w:val="22"/>
                <w:lang w:val="nl-NL"/>
              </w:rPr>
              <w:t>;</w:t>
            </w:r>
            <w:r w:rsidR="00FD6DD5" w:rsidRPr="00126452">
              <w:rPr>
                <w:sz w:val="22"/>
                <w:lang w:val="nl-NL"/>
              </w:rPr>
              <w:t xml:space="preserve"> </w:t>
            </w:r>
          </w:p>
          <w:p w14:paraId="0BF39C64" w14:textId="0FD35CE1" w:rsidR="003F0B9E" w:rsidRPr="00126452" w:rsidRDefault="00541CB3" w:rsidP="009F6062">
            <w:pPr>
              <w:jc w:val="both"/>
              <w:rPr>
                <w:sz w:val="22"/>
                <w:lang w:val="nl-NL"/>
              </w:rPr>
            </w:pPr>
            <w:r w:rsidRPr="00126452">
              <w:rPr>
                <w:sz w:val="22"/>
                <w:lang w:val="nl-NL"/>
              </w:rPr>
              <w:t>- TT.UBPL; Ban CTĐB;</w:t>
            </w:r>
          </w:p>
          <w:p w14:paraId="320D0F58" w14:textId="77777777" w:rsidR="003F0B9E" w:rsidRPr="00126452" w:rsidRDefault="003F0B9E" w:rsidP="009F6062">
            <w:pPr>
              <w:jc w:val="both"/>
              <w:rPr>
                <w:sz w:val="22"/>
                <w:lang w:val="pt-PT"/>
              </w:rPr>
            </w:pPr>
            <w:r w:rsidRPr="00126452">
              <w:rPr>
                <w:sz w:val="22"/>
                <w:lang w:val="pt-PT"/>
              </w:rPr>
              <w:t>- Lưu: HC, PL.</w:t>
            </w:r>
          </w:p>
          <w:p w14:paraId="3A126BF3" w14:textId="550F4E3A" w:rsidR="003F0B9E" w:rsidRPr="00126452" w:rsidRDefault="003F0B9E" w:rsidP="009F6062">
            <w:pPr>
              <w:jc w:val="both"/>
              <w:rPr>
                <w:lang w:val="pt-PT"/>
              </w:rPr>
            </w:pPr>
            <w:r w:rsidRPr="00126452">
              <w:rPr>
                <w:sz w:val="22"/>
                <w:lang w:val="pt-PT"/>
              </w:rPr>
              <w:t xml:space="preserve">E-pas: </w:t>
            </w:r>
            <w:r w:rsidR="009D24C2" w:rsidRPr="00126452">
              <w:rPr>
                <w:sz w:val="22"/>
                <w:lang w:val="pt-PT"/>
              </w:rPr>
              <w:t>87952</w:t>
            </w:r>
          </w:p>
        </w:tc>
        <w:tc>
          <w:tcPr>
            <w:tcW w:w="5353" w:type="dxa"/>
          </w:tcPr>
          <w:p w14:paraId="13920289" w14:textId="77777777" w:rsidR="00FF0C1E" w:rsidRPr="00126452" w:rsidRDefault="00FF0C1E" w:rsidP="009F6062">
            <w:pPr>
              <w:jc w:val="center"/>
              <w:rPr>
                <w:b/>
                <w:sz w:val="28"/>
                <w:szCs w:val="28"/>
                <w:lang w:val="pt-PT"/>
              </w:rPr>
            </w:pPr>
            <w:r w:rsidRPr="00126452">
              <w:rPr>
                <w:b/>
                <w:sz w:val="28"/>
                <w:szCs w:val="28"/>
                <w:lang w:val="pt-PT"/>
              </w:rPr>
              <w:t>TM.ỦY BAN THƯỜNG VỤ QUỐC HỘI</w:t>
            </w:r>
          </w:p>
          <w:p w14:paraId="46581B53" w14:textId="77777777" w:rsidR="00FF0C1E" w:rsidRPr="00126452" w:rsidRDefault="00FF0C1E" w:rsidP="009F6062">
            <w:pPr>
              <w:jc w:val="center"/>
              <w:rPr>
                <w:b/>
                <w:sz w:val="28"/>
                <w:szCs w:val="28"/>
                <w:lang w:val="pt-PT"/>
              </w:rPr>
            </w:pPr>
            <w:r w:rsidRPr="00126452">
              <w:rPr>
                <w:b/>
                <w:sz w:val="28"/>
                <w:szCs w:val="28"/>
                <w:lang w:val="pt-PT"/>
              </w:rPr>
              <w:t>KT. CHỦ TỊCH</w:t>
            </w:r>
          </w:p>
          <w:p w14:paraId="6FC41FF7" w14:textId="7F126738" w:rsidR="003F0B9E" w:rsidRPr="00126452" w:rsidRDefault="00FF0C1E" w:rsidP="009F6062">
            <w:pPr>
              <w:jc w:val="center"/>
              <w:rPr>
                <w:b/>
                <w:sz w:val="26"/>
                <w:lang w:val="pt-PT"/>
              </w:rPr>
            </w:pPr>
            <w:r w:rsidRPr="00126452">
              <w:rPr>
                <w:b/>
                <w:sz w:val="28"/>
                <w:szCs w:val="28"/>
                <w:lang w:val="pt-PT"/>
              </w:rPr>
              <w:t>ỦY VIÊN</w:t>
            </w:r>
            <w:r w:rsidR="00541CB3" w:rsidRPr="00126452">
              <w:rPr>
                <w:b/>
                <w:sz w:val="28"/>
                <w:szCs w:val="28"/>
                <w:lang w:val="pt-PT"/>
              </w:rPr>
              <w:t>-TỔNG THƯ KÝ QUỐC HỘI</w:t>
            </w:r>
          </w:p>
          <w:p w14:paraId="520B4D00" w14:textId="77777777" w:rsidR="003F0B9E" w:rsidRPr="00126452" w:rsidRDefault="003F0B9E" w:rsidP="009F6062">
            <w:pPr>
              <w:jc w:val="center"/>
              <w:rPr>
                <w:b/>
                <w:sz w:val="26"/>
                <w:lang w:val="pt-PT"/>
              </w:rPr>
            </w:pPr>
          </w:p>
          <w:p w14:paraId="1695E606" w14:textId="77777777" w:rsidR="003F0B9E" w:rsidRPr="00126452" w:rsidRDefault="003F0B9E" w:rsidP="009F6062">
            <w:pPr>
              <w:jc w:val="center"/>
              <w:rPr>
                <w:b/>
                <w:i/>
                <w:lang w:val="pt-PT"/>
              </w:rPr>
            </w:pPr>
          </w:p>
          <w:p w14:paraId="0FA632AC" w14:textId="49682C7B" w:rsidR="003F0B9E" w:rsidRPr="00126452" w:rsidRDefault="003F0B9E" w:rsidP="009F6062">
            <w:pPr>
              <w:jc w:val="center"/>
              <w:rPr>
                <w:b/>
                <w:i/>
                <w:lang w:val="pt-PT"/>
              </w:rPr>
            </w:pPr>
          </w:p>
          <w:p w14:paraId="3C7F3949" w14:textId="53C2370A" w:rsidR="00F91F5A" w:rsidRPr="00126452" w:rsidRDefault="00F91F5A" w:rsidP="009F6062">
            <w:pPr>
              <w:jc w:val="center"/>
              <w:rPr>
                <w:b/>
                <w:i/>
                <w:sz w:val="28"/>
                <w:szCs w:val="28"/>
                <w:lang w:val="pt-PT"/>
              </w:rPr>
            </w:pPr>
            <w:r w:rsidRPr="00126452">
              <w:rPr>
                <w:b/>
                <w:i/>
                <w:sz w:val="28"/>
                <w:szCs w:val="28"/>
                <w:lang w:val="pt-PT"/>
              </w:rPr>
              <w:t>(Đã ký)</w:t>
            </w:r>
          </w:p>
          <w:p w14:paraId="5CC66481" w14:textId="77777777" w:rsidR="00F91F5A" w:rsidRPr="00126452" w:rsidRDefault="00F91F5A" w:rsidP="009F6062">
            <w:pPr>
              <w:jc w:val="center"/>
              <w:rPr>
                <w:b/>
                <w:i/>
                <w:sz w:val="28"/>
                <w:szCs w:val="28"/>
                <w:lang w:val="pt-PT"/>
              </w:rPr>
            </w:pPr>
          </w:p>
          <w:p w14:paraId="184AF22D" w14:textId="77777777" w:rsidR="003F0B9E" w:rsidRPr="00126452" w:rsidRDefault="003F0B9E" w:rsidP="009F6062">
            <w:pPr>
              <w:jc w:val="center"/>
              <w:rPr>
                <w:b/>
                <w:sz w:val="28"/>
                <w:szCs w:val="28"/>
                <w:lang w:val="pt-PT"/>
              </w:rPr>
            </w:pPr>
          </w:p>
          <w:p w14:paraId="0E3956A8" w14:textId="77777777" w:rsidR="003F0B9E" w:rsidRPr="00126452" w:rsidRDefault="003F0B9E" w:rsidP="009F6062">
            <w:pPr>
              <w:jc w:val="center"/>
              <w:rPr>
                <w:b/>
                <w:sz w:val="28"/>
                <w:szCs w:val="28"/>
                <w:lang w:val="pt-PT"/>
              </w:rPr>
            </w:pPr>
            <w:r w:rsidRPr="00126452">
              <w:rPr>
                <w:b/>
                <w:sz w:val="28"/>
                <w:szCs w:val="28"/>
                <w:lang w:val="pt-PT"/>
              </w:rPr>
              <w:t>Bùi Văn Cường</w:t>
            </w:r>
          </w:p>
        </w:tc>
      </w:tr>
    </w:tbl>
    <w:p w14:paraId="421AE216" w14:textId="77777777" w:rsidR="003F0B9E" w:rsidRPr="00126452" w:rsidRDefault="003F0B9E" w:rsidP="003F0B9E">
      <w:pPr>
        <w:rPr>
          <w:sz w:val="2"/>
          <w:lang w:val="pt-PT"/>
        </w:rPr>
      </w:pPr>
    </w:p>
    <w:p w14:paraId="1C6040BC" w14:textId="77777777" w:rsidR="003F0B9E" w:rsidRPr="00126452" w:rsidRDefault="003F0B9E" w:rsidP="003F0B9E">
      <w:pPr>
        <w:rPr>
          <w:sz w:val="2"/>
          <w:lang w:val="pt-PT"/>
        </w:rPr>
      </w:pPr>
    </w:p>
    <w:p w14:paraId="5A60F072" w14:textId="7426812E" w:rsidR="00080481" w:rsidRPr="00126452" w:rsidRDefault="00080481">
      <w:pPr>
        <w:rPr>
          <w:lang w:val="pt-PT"/>
        </w:rPr>
      </w:pPr>
    </w:p>
    <w:p w14:paraId="0436ACDD" w14:textId="4092442C" w:rsidR="00D0672D" w:rsidRPr="00126452" w:rsidRDefault="00D0672D">
      <w:pPr>
        <w:rPr>
          <w:lang w:val="pt-PT"/>
        </w:rPr>
      </w:pPr>
    </w:p>
    <w:p w14:paraId="464E1411" w14:textId="3C649FFA" w:rsidR="00D0672D" w:rsidRPr="00126452" w:rsidRDefault="00D0672D">
      <w:pPr>
        <w:rPr>
          <w:lang w:val="pt-PT"/>
        </w:rPr>
      </w:pPr>
    </w:p>
    <w:p w14:paraId="7B59FE74" w14:textId="77777777" w:rsidR="00D0672D" w:rsidRPr="00126452" w:rsidRDefault="00D0672D">
      <w:pPr>
        <w:rPr>
          <w:lang w:val="pt-PT"/>
        </w:rPr>
      </w:pPr>
    </w:p>
    <w:sectPr w:rsidR="00D0672D" w:rsidRPr="00126452" w:rsidSect="00FF0C1E">
      <w:headerReference w:type="default" r:id="rId7"/>
      <w:footerReference w:type="default" r:id="rId8"/>
      <w:pgSz w:w="11907" w:h="16840" w:code="9"/>
      <w:pgMar w:top="1134" w:right="1021"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62B00" w14:textId="77777777" w:rsidR="0095420D" w:rsidRDefault="0095420D">
      <w:r>
        <w:separator/>
      </w:r>
    </w:p>
  </w:endnote>
  <w:endnote w:type="continuationSeparator" w:id="0">
    <w:p w14:paraId="6B3F13B2" w14:textId="77777777" w:rsidR="0095420D" w:rsidRDefault="0095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A531" w14:textId="77777777" w:rsidR="006B7807" w:rsidRDefault="006B7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0BA5E" w14:textId="77777777" w:rsidR="0095420D" w:rsidRDefault="0095420D">
      <w:r>
        <w:separator/>
      </w:r>
    </w:p>
  </w:footnote>
  <w:footnote w:type="continuationSeparator" w:id="0">
    <w:p w14:paraId="2A949770" w14:textId="77777777" w:rsidR="0095420D" w:rsidRDefault="0095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1E80" w14:textId="77777777" w:rsidR="006B7807" w:rsidRPr="00121F18" w:rsidRDefault="00FF0C1E" w:rsidP="003273C4">
    <w:pPr>
      <w:pStyle w:val="Header"/>
      <w:jc w:val="center"/>
      <w:rPr>
        <w:rFonts w:ascii="Times New Roman" w:hAnsi="Times New Roman"/>
        <w:sz w:val="24"/>
        <w:szCs w:val="24"/>
        <w:lang w:val="en-US"/>
      </w:rPr>
    </w:pPr>
    <w:r w:rsidRPr="00914E15">
      <w:rPr>
        <w:rFonts w:ascii="Times New Roman" w:hAnsi="Times New Roman"/>
        <w:noProof w:val="0"/>
        <w:sz w:val="24"/>
        <w:szCs w:val="24"/>
      </w:rPr>
      <w:fldChar w:fldCharType="begin"/>
    </w:r>
    <w:r w:rsidRPr="00914E15">
      <w:rPr>
        <w:rFonts w:ascii="Times New Roman" w:hAnsi="Times New Roman"/>
        <w:sz w:val="24"/>
        <w:szCs w:val="24"/>
      </w:rPr>
      <w:instrText xml:space="preserve"> PAGE   \* MERGEFORMAT </w:instrText>
    </w:r>
    <w:r w:rsidRPr="00914E15">
      <w:rPr>
        <w:rFonts w:ascii="Times New Roman" w:hAnsi="Times New Roman"/>
        <w:noProof w:val="0"/>
        <w:sz w:val="24"/>
        <w:szCs w:val="24"/>
      </w:rPr>
      <w:fldChar w:fldCharType="separate"/>
    </w:r>
    <w:r>
      <w:rPr>
        <w:rFonts w:ascii="Times New Roman" w:hAnsi="Times New Roman"/>
        <w:sz w:val="24"/>
        <w:szCs w:val="24"/>
      </w:rPr>
      <w:t>2</w:t>
    </w:r>
    <w:r w:rsidRPr="00914E15">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9E"/>
    <w:rsid w:val="000562B2"/>
    <w:rsid w:val="00080481"/>
    <w:rsid w:val="000C04B6"/>
    <w:rsid w:val="00126452"/>
    <w:rsid w:val="001F0CBB"/>
    <w:rsid w:val="002A13AE"/>
    <w:rsid w:val="003B147F"/>
    <w:rsid w:val="003F0B9E"/>
    <w:rsid w:val="003F5EC8"/>
    <w:rsid w:val="00435A0D"/>
    <w:rsid w:val="004C7BB4"/>
    <w:rsid w:val="004D181E"/>
    <w:rsid w:val="00541CB3"/>
    <w:rsid w:val="0056734D"/>
    <w:rsid w:val="00633987"/>
    <w:rsid w:val="006B7807"/>
    <w:rsid w:val="008F7566"/>
    <w:rsid w:val="0095420D"/>
    <w:rsid w:val="009928F5"/>
    <w:rsid w:val="009D24C2"/>
    <w:rsid w:val="00B36FFC"/>
    <w:rsid w:val="00B95549"/>
    <w:rsid w:val="00D0672D"/>
    <w:rsid w:val="00D577B2"/>
    <w:rsid w:val="00D9276A"/>
    <w:rsid w:val="00F91F5A"/>
    <w:rsid w:val="00FD6DD5"/>
    <w:rsid w:val="00FF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7D55"/>
  <w15:chartTrackingRefBased/>
  <w15:docId w15:val="{1DF51298-49B0-4341-8744-06A479E4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B9E"/>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9E"/>
    <w:pPr>
      <w:tabs>
        <w:tab w:val="center" w:pos="4680"/>
        <w:tab w:val="right" w:pos="9360"/>
      </w:tabs>
    </w:pPr>
    <w:rPr>
      <w:rFonts w:ascii=".VnTime" w:eastAsia="Times New Roman" w:hAnsi=".VnTime"/>
      <w:noProof/>
      <w:szCs w:val="28"/>
      <w:lang w:val="x-none" w:eastAsia="x-none"/>
    </w:rPr>
  </w:style>
  <w:style w:type="character" w:customStyle="1" w:styleId="HeaderChar">
    <w:name w:val="Header Char"/>
    <w:basedOn w:val="DefaultParagraphFont"/>
    <w:link w:val="Header"/>
    <w:uiPriority w:val="99"/>
    <w:rsid w:val="003F0B9E"/>
    <w:rPr>
      <w:rFonts w:ascii=".VnTime" w:eastAsia="Times New Roman" w:hAnsi=".VnTime" w:cs="Times New Roman"/>
      <w:noProof/>
      <w:sz w:val="20"/>
      <w:szCs w:val="28"/>
      <w:lang w:val="x-none" w:eastAsia="x-none"/>
    </w:rPr>
  </w:style>
  <w:style w:type="paragraph" w:styleId="Footer">
    <w:name w:val="footer"/>
    <w:basedOn w:val="Normal"/>
    <w:link w:val="FooterChar"/>
    <w:uiPriority w:val="99"/>
    <w:unhideWhenUsed/>
    <w:rsid w:val="003F0B9E"/>
    <w:pPr>
      <w:tabs>
        <w:tab w:val="center" w:pos="4680"/>
        <w:tab w:val="right" w:pos="9360"/>
      </w:tabs>
    </w:pPr>
    <w:rPr>
      <w:iCs/>
      <w:sz w:val="28"/>
      <w:szCs w:val="28"/>
      <w:lang w:val="x-none"/>
    </w:rPr>
  </w:style>
  <w:style w:type="character" w:customStyle="1" w:styleId="FooterChar">
    <w:name w:val="Footer Char"/>
    <w:basedOn w:val="DefaultParagraphFont"/>
    <w:link w:val="Footer"/>
    <w:uiPriority w:val="99"/>
    <w:rsid w:val="003F0B9E"/>
    <w:rPr>
      <w:rFonts w:ascii="Times New Roman" w:eastAsia="Calibri" w:hAnsi="Times New Roman" w:cs="Times New Roman"/>
      <w:iCs/>
      <w:sz w:val="28"/>
      <w:szCs w:val="28"/>
      <w:lang w:val="x-none" w:eastAsia="en-GB"/>
    </w:rPr>
  </w:style>
  <w:style w:type="paragraph" w:styleId="NormalWeb">
    <w:name w:val="Normal (Web)"/>
    <w:aliases w:val="Normal (Web) Char,Обычный (веб)1,Обычный (веб) Знак,Обычный (веб) Знак1,Обычный (веб) Знак Знак,Normal (Web)1,webb, webb"/>
    <w:basedOn w:val="Normal"/>
    <w:link w:val="NormalWebChar1"/>
    <w:uiPriority w:val="99"/>
    <w:qFormat/>
    <w:rsid w:val="003F0B9E"/>
    <w:pPr>
      <w:spacing w:before="100" w:beforeAutospacing="1" w:after="100" w:afterAutospacing="1"/>
    </w:pPr>
    <w:rPr>
      <w:rFonts w:eastAsia="Times New Roman"/>
      <w:sz w:val="29"/>
      <w:szCs w:val="29"/>
      <w:lang w:val="x-none" w:eastAsia="x-none"/>
    </w:rPr>
  </w:style>
  <w:style w:type="character" w:customStyle="1" w:styleId="NormalWebChar1">
    <w:name w:val="Normal (Web) Char1"/>
    <w:aliases w:val="Normal (Web) Char Char,Обычный (веб)1 Char,Обычный (веб) Знак Char,Обычный (веб) Знак1 Char,Обычный (веб) Знак Знак Char,Normal (Web)1 Char,webb Char, webb Char"/>
    <w:link w:val="NormalWeb"/>
    <w:uiPriority w:val="99"/>
    <w:locked/>
    <w:rsid w:val="003F0B9E"/>
    <w:rPr>
      <w:rFonts w:ascii="Times New Roman" w:eastAsia="Times New Roman" w:hAnsi="Times New Roman" w:cs="Times New Roman"/>
      <w:sz w:val="29"/>
      <w:szCs w:val="29"/>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A6C4D-021B-4C36-A574-3922E6FDD41E}">
  <ds:schemaRefs>
    <ds:schemaRef ds:uri="http://schemas.openxmlformats.org/officeDocument/2006/bibliography"/>
  </ds:schemaRefs>
</ds:datastoreItem>
</file>

<file path=customXml/itemProps2.xml><?xml version="1.0" encoding="utf-8"?>
<ds:datastoreItem xmlns:ds="http://schemas.openxmlformats.org/officeDocument/2006/customXml" ds:itemID="{B6AAEE38-3FA6-4E5F-BC64-F6ACC26F1A9D}"/>
</file>

<file path=customXml/itemProps3.xml><?xml version="1.0" encoding="utf-8"?>
<ds:datastoreItem xmlns:ds="http://schemas.openxmlformats.org/officeDocument/2006/customXml" ds:itemID="{6CEB804B-710B-43CC-AB0E-F49D8FD4CA3F}"/>
</file>

<file path=customXml/itemProps4.xml><?xml version="1.0" encoding="utf-8"?>
<ds:datastoreItem xmlns:ds="http://schemas.openxmlformats.org/officeDocument/2006/customXml" ds:itemID="{1C36509E-8F72-40BC-AB1D-FECF00A9FD7B}"/>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Thi Thanh Huong</dc:creator>
  <cp:keywords/>
  <dc:description/>
  <cp:lastModifiedBy>Nguyen Thuy Ha</cp:lastModifiedBy>
  <cp:revision>4</cp:revision>
  <cp:lastPrinted>2024-09-30T02:25:00Z</cp:lastPrinted>
  <dcterms:created xsi:type="dcterms:W3CDTF">2024-09-30T04:38:00Z</dcterms:created>
  <dcterms:modified xsi:type="dcterms:W3CDTF">2024-09-30T04:53:00Z</dcterms:modified>
</cp:coreProperties>
</file>